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5053" w:rsidRDefault="00BF1655">
      <w:pPr>
        <w:spacing w:before="0" w:line="240" w:lineRule="auto"/>
        <w:jc w:val="center"/>
        <w:rPr>
          <w:b/>
          <w:color w:val="262E67"/>
          <w:sz w:val="20"/>
          <w:szCs w:val="20"/>
        </w:rPr>
      </w:pPr>
      <w:r>
        <w:rPr>
          <w:b/>
          <w:color w:val="262E67"/>
          <w:sz w:val="20"/>
          <w:szCs w:val="20"/>
        </w:rPr>
        <w:t>Introduction to Registered Apprenticeships</w:t>
      </w:r>
    </w:p>
    <w:p w:rsidR="00B85053" w:rsidRDefault="00BF1655">
      <w:pPr>
        <w:spacing w:before="0" w:line="240" w:lineRule="auto"/>
        <w:jc w:val="center"/>
        <w:rPr>
          <w:sz w:val="20"/>
          <w:szCs w:val="20"/>
        </w:rPr>
      </w:pPr>
      <w:r>
        <w:rPr>
          <w:sz w:val="20"/>
          <w:szCs w:val="20"/>
        </w:rPr>
        <w:t xml:space="preserve">Through apprenticeship programs, employers can develop the skilled talent they need to grow. Many have reported higher levels of employee morale and engagement, an improved bottom line, and increased retention. </w:t>
      </w:r>
    </w:p>
    <w:p w:rsidR="00B85053" w:rsidRDefault="00BF1655">
      <w:pPr>
        <w:spacing w:before="0" w:after="160" w:line="259" w:lineRule="auto"/>
        <w:rPr>
          <w:b/>
          <w:sz w:val="20"/>
          <w:szCs w:val="20"/>
        </w:rPr>
      </w:pPr>
      <w:r>
        <w:rPr>
          <w:noProof/>
          <w:lang w:val="en-US"/>
        </w:rPr>
        <w:drawing>
          <wp:anchor distT="114300" distB="114300" distL="114300" distR="114300" simplePos="0" relativeHeight="251658240" behindDoc="0" locked="0" layoutInCell="1" hidden="0" allowOverlap="1">
            <wp:simplePos x="0" y="0"/>
            <wp:positionH relativeFrom="column">
              <wp:posOffset>-100012</wp:posOffset>
            </wp:positionH>
            <wp:positionV relativeFrom="paragraph">
              <wp:posOffset>352425</wp:posOffset>
            </wp:positionV>
            <wp:extent cx="609600" cy="609600"/>
            <wp:effectExtent l="0" t="0" r="0" b="0"/>
            <wp:wrapSquare wrapText="bothSides" distT="114300" distB="114300" distL="114300" distR="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609600" cy="609600"/>
                    </a:xfrm>
                    <a:prstGeom prst="rect">
                      <a:avLst/>
                    </a:prstGeom>
                    <a:ln/>
                  </pic:spPr>
                </pic:pic>
              </a:graphicData>
            </a:graphic>
          </wp:anchor>
        </w:drawing>
      </w:r>
    </w:p>
    <w:p w:rsidR="00B85053" w:rsidRDefault="00BF1655">
      <w:pPr>
        <w:spacing w:before="0" w:after="160" w:line="259" w:lineRule="auto"/>
        <w:rPr>
          <w:b/>
          <w:sz w:val="20"/>
          <w:szCs w:val="20"/>
        </w:rPr>
      </w:pPr>
      <w:r>
        <w:rPr>
          <w:b/>
          <w:sz w:val="20"/>
          <w:szCs w:val="20"/>
        </w:rPr>
        <w:t xml:space="preserve">Components of a Registered Apprenticeship </w:t>
      </w:r>
    </w:p>
    <w:p w:rsidR="00B85053" w:rsidRDefault="00BF1655">
      <w:pPr>
        <w:widowControl w:val="0"/>
        <w:spacing w:before="0" w:line="240" w:lineRule="auto"/>
        <w:rPr>
          <w:sz w:val="20"/>
          <w:szCs w:val="20"/>
        </w:rPr>
      </w:pPr>
      <w:r>
        <w:rPr>
          <w:b/>
          <w:sz w:val="20"/>
          <w:szCs w:val="20"/>
        </w:rPr>
        <w:t xml:space="preserve">On the Job Learning (OJL) </w:t>
      </w:r>
      <w:r>
        <w:rPr>
          <w:sz w:val="20"/>
          <w:szCs w:val="20"/>
        </w:rPr>
        <w:t>- Training in the public or private sector that is given to paid employees while they are engaged in productive work that provides the skills and knowledge essential to be fully profici</w:t>
      </w:r>
      <w:r>
        <w:rPr>
          <w:sz w:val="20"/>
          <w:szCs w:val="20"/>
        </w:rPr>
        <w:t xml:space="preserve">ent at a job </w:t>
      </w:r>
    </w:p>
    <w:p w:rsidR="00B85053" w:rsidRDefault="00BF1655">
      <w:pPr>
        <w:widowControl w:val="0"/>
        <w:numPr>
          <w:ilvl w:val="0"/>
          <w:numId w:val="2"/>
        </w:numPr>
        <w:spacing w:before="0" w:line="240" w:lineRule="auto"/>
        <w:rPr>
          <w:sz w:val="20"/>
          <w:szCs w:val="20"/>
        </w:rPr>
      </w:pPr>
      <w:r>
        <w:rPr>
          <w:sz w:val="20"/>
          <w:szCs w:val="20"/>
        </w:rPr>
        <w:t>Minimum of 2000 hours of structured and supervised OJL</w:t>
      </w:r>
    </w:p>
    <w:p w:rsidR="00B85053" w:rsidRDefault="00B85053">
      <w:pPr>
        <w:widowControl w:val="0"/>
        <w:spacing w:before="0" w:line="240" w:lineRule="auto"/>
        <w:rPr>
          <w:b/>
          <w:sz w:val="20"/>
          <w:szCs w:val="20"/>
        </w:rPr>
      </w:pPr>
    </w:p>
    <w:p w:rsidR="00B85053" w:rsidRDefault="00BF1655">
      <w:pPr>
        <w:widowControl w:val="0"/>
        <w:spacing w:before="0" w:line="240" w:lineRule="auto"/>
        <w:rPr>
          <w:sz w:val="20"/>
          <w:szCs w:val="20"/>
        </w:rPr>
      </w:pPr>
      <w:r>
        <w:rPr>
          <w:b/>
          <w:sz w:val="20"/>
          <w:szCs w:val="20"/>
        </w:rPr>
        <w:t xml:space="preserve">Related Instruction (RI) </w:t>
      </w:r>
      <w:r>
        <w:rPr>
          <w:sz w:val="20"/>
          <w:szCs w:val="20"/>
        </w:rPr>
        <w:t xml:space="preserve">- </w:t>
      </w:r>
      <w:r>
        <w:rPr>
          <w:sz w:val="20"/>
          <w:szCs w:val="20"/>
          <w:highlight w:val="white"/>
        </w:rPr>
        <w:t>T</w:t>
      </w:r>
      <w:r>
        <w:rPr>
          <w:sz w:val="20"/>
          <w:szCs w:val="20"/>
        </w:rPr>
        <w:t xml:space="preserve">he classroom (or online) learning component of a registered apprenticeship which may be obtained through a college, union, online, private training provider, </w:t>
      </w:r>
      <w:r>
        <w:rPr>
          <w:sz w:val="20"/>
          <w:szCs w:val="20"/>
        </w:rPr>
        <w:t>or internally at a company</w:t>
      </w:r>
      <w:r>
        <w:rPr>
          <w:noProof/>
          <w:lang w:val="en-US"/>
        </w:rPr>
        <w:drawing>
          <wp:anchor distT="114300" distB="114300" distL="114300" distR="114300" simplePos="0" relativeHeight="251659264" behindDoc="0" locked="0" layoutInCell="1" hidden="0" allowOverlap="1">
            <wp:simplePos x="0" y="0"/>
            <wp:positionH relativeFrom="column">
              <wp:posOffset>-114299</wp:posOffset>
            </wp:positionH>
            <wp:positionV relativeFrom="paragraph">
              <wp:posOffset>123825</wp:posOffset>
            </wp:positionV>
            <wp:extent cx="638175" cy="638175"/>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638175" cy="638175"/>
                    </a:xfrm>
                    <a:prstGeom prst="rect">
                      <a:avLst/>
                    </a:prstGeom>
                    <a:ln/>
                  </pic:spPr>
                </pic:pic>
              </a:graphicData>
            </a:graphic>
          </wp:anchor>
        </w:drawing>
      </w:r>
    </w:p>
    <w:p w:rsidR="00B85053" w:rsidRDefault="00BF1655">
      <w:pPr>
        <w:widowControl w:val="0"/>
        <w:numPr>
          <w:ilvl w:val="0"/>
          <w:numId w:val="1"/>
        </w:numPr>
        <w:spacing w:before="0" w:line="240" w:lineRule="auto"/>
        <w:rPr>
          <w:sz w:val="20"/>
          <w:szCs w:val="20"/>
        </w:rPr>
      </w:pPr>
      <w:r>
        <w:rPr>
          <w:sz w:val="20"/>
          <w:szCs w:val="20"/>
        </w:rPr>
        <w:t>Recommended 144 hours of RI per year</w:t>
      </w:r>
    </w:p>
    <w:p w:rsidR="00B85053" w:rsidRDefault="00BF1655">
      <w:pPr>
        <w:widowControl w:val="0"/>
        <w:spacing w:before="0" w:line="240" w:lineRule="auto"/>
        <w:ind w:left="720"/>
        <w:rPr>
          <w:sz w:val="20"/>
          <w:szCs w:val="20"/>
        </w:rPr>
      </w:pPr>
      <w:r>
        <w:rPr>
          <w:noProof/>
          <w:lang w:val="en-US"/>
        </w:rPr>
        <w:drawing>
          <wp:anchor distT="114300" distB="114300" distL="114300" distR="114300" simplePos="0" relativeHeight="251660288" behindDoc="0" locked="0" layoutInCell="1" hidden="0" allowOverlap="1">
            <wp:simplePos x="0" y="0"/>
            <wp:positionH relativeFrom="column">
              <wp:posOffset>-100012</wp:posOffset>
            </wp:positionH>
            <wp:positionV relativeFrom="paragraph">
              <wp:posOffset>230707</wp:posOffset>
            </wp:positionV>
            <wp:extent cx="604838" cy="6048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04838" cy="604838"/>
                    </a:xfrm>
                    <a:prstGeom prst="rect">
                      <a:avLst/>
                    </a:prstGeom>
                    <a:ln/>
                  </pic:spPr>
                </pic:pic>
              </a:graphicData>
            </a:graphic>
          </wp:anchor>
        </w:drawing>
      </w:r>
    </w:p>
    <w:p w:rsidR="00B85053" w:rsidRDefault="00BF1655">
      <w:pPr>
        <w:widowControl w:val="0"/>
        <w:spacing w:before="0" w:line="240" w:lineRule="auto"/>
        <w:rPr>
          <w:sz w:val="20"/>
          <w:szCs w:val="20"/>
        </w:rPr>
      </w:pPr>
      <w:r>
        <w:rPr>
          <w:b/>
          <w:sz w:val="20"/>
          <w:szCs w:val="20"/>
        </w:rPr>
        <w:t>Wage Progression</w:t>
      </w:r>
      <w:r>
        <w:rPr>
          <w:sz w:val="20"/>
          <w:szCs w:val="20"/>
        </w:rPr>
        <w:t xml:space="preserve"> </w:t>
      </w:r>
      <w:proofErr w:type="gramStart"/>
      <w:r>
        <w:rPr>
          <w:sz w:val="20"/>
          <w:szCs w:val="20"/>
        </w:rPr>
        <w:t>-  The</w:t>
      </w:r>
      <w:proofErr w:type="gramEnd"/>
      <w:r>
        <w:rPr>
          <w:sz w:val="20"/>
          <w:szCs w:val="20"/>
        </w:rPr>
        <w:t xml:space="preserve"> minimum wage rates for apprentices at various points in their apprenticeship program</w:t>
      </w:r>
    </w:p>
    <w:p w:rsidR="00B85053" w:rsidRDefault="00BF1655">
      <w:pPr>
        <w:widowControl w:val="0"/>
        <w:numPr>
          <w:ilvl w:val="0"/>
          <w:numId w:val="5"/>
        </w:numPr>
        <w:spacing w:before="0" w:line="240" w:lineRule="auto"/>
        <w:rPr>
          <w:sz w:val="20"/>
          <w:szCs w:val="20"/>
        </w:rPr>
      </w:pPr>
      <w:r>
        <w:rPr>
          <w:sz w:val="20"/>
          <w:szCs w:val="20"/>
        </w:rPr>
        <w:t xml:space="preserve">Apprentices receive a minimum of one wage progression during the apprenticeship </w:t>
      </w:r>
      <w:r>
        <w:rPr>
          <w:sz w:val="20"/>
          <w:szCs w:val="20"/>
        </w:rPr>
        <w:t>in addition to their starting wage and completion wage</w:t>
      </w:r>
    </w:p>
    <w:p w:rsidR="00B85053" w:rsidRDefault="00BF1655">
      <w:pPr>
        <w:widowControl w:val="0"/>
        <w:spacing w:before="0" w:line="240" w:lineRule="auto"/>
        <w:rPr>
          <w:sz w:val="20"/>
          <w:szCs w:val="20"/>
        </w:rPr>
      </w:pPr>
      <w:r>
        <w:rPr>
          <w:noProof/>
          <w:lang w:val="en-US"/>
        </w:rPr>
        <w:drawing>
          <wp:anchor distT="114300" distB="114300" distL="114300" distR="114300" simplePos="0" relativeHeight="251661312" behindDoc="0" locked="0" layoutInCell="1" hidden="0" allowOverlap="1">
            <wp:simplePos x="0" y="0"/>
            <wp:positionH relativeFrom="column">
              <wp:posOffset>-114299</wp:posOffset>
            </wp:positionH>
            <wp:positionV relativeFrom="paragraph">
              <wp:posOffset>161925</wp:posOffset>
            </wp:positionV>
            <wp:extent cx="638175" cy="638175"/>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638175" cy="638175"/>
                    </a:xfrm>
                    <a:prstGeom prst="rect">
                      <a:avLst/>
                    </a:prstGeom>
                    <a:ln/>
                  </pic:spPr>
                </pic:pic>
              </a:graphicData>
            </a:graphic>
          </wp:anchor>
        </w:drawing>
      </w:r>
    </w:p>
    <w:p w:rsidR="00B85053" w:rsidRDefault="00BF1655">
      <w:pPr>
        <w:widowControl w:val="0"/>
        <w:spacing w:before="0" w:line="240" w:lineRule="auto"/>
        <w:rPr>
          <w:sz w:val="20"/>
          <w:szCs w:val="20"/>
        </w:rPr>
      </w:pPr>
      <w:r>
        <w:rPr>
          <w:b/>
          <w:sz w:val="20"/>
          <w:szCs w:val="20"/>
        </w:rPr>
        <w:t xml:space="preserve">National Occupational Credential - </w:t>
      </w:r>
      <w:r>
        <w:rPr>
          <w:sz w:val="20"/>
          <w:szCs w:val="20"/>
        </w:rPr>
        <w:t xml:space="preserve">After finishing the program, apprentices earn a nationally-recognized credential that ensures that they are qualified for a job </w:t>
      </w:r>
    </w:p>
    <w:p w:rsidR="00B85053" w:rsidRDefault="00B85053">
      <w:pPr>
        <w:spacing w:before="0" w:after="160" w:line="259" w:lineRule="auto"/>
        <w:rPr>
          <w:sz w:val="20"/>
          <w:szCs w:val="20"/>
        </w:rPr>
      </w:pPr>
    </w:p>
    <w:p w:rsidR="00B85053" w:rsidRDefault="00BF1655">
      <w:pPr>
        <w:spacing w:before="0" w:line="240" w:lineRule="auto"/>
        <w:rPr>
          <w:rFonts w:ascii="Trebuchet MS" w:eastAsia="Trebuchet MS" w:hAnsi="Trebuchet MS" w:cs="Trebuchet MS"/>
          <w:sz w:val="20"/>
          <w:szCs w:val="20"/>
        </w:rPr>
      </w:pPr>
      <w:r>
        <w:rPr>
          <w:rFonts w:ascii="Trebuchet MS" w:eastAsia="Trebuchet MS" w:hAnsi="Trebuchet MS" w:cs="Trebuchet MS"/>
          <w:b/>
          <w:sz w:val="20"/>
          <w:szCs w:val="20"/>
        </w:rPr>
        <w:t>Benefits of Registered Apprentices</w:t>
      </w:r>
      <w:r>
        <w:rPr>
          <w:rFonts w:ascii="Trebuchet MS" w:eastAsia="Trebuchet MS" w:hAnsi="Trebuchet MS" w:cs="Trebuchet MS"/>
          <w:b/>
          <w:sz w:val="20"/>
          <w:szCs w:val="20"/>
        </w:rPr>
        <w:t>hips</w:t>
      </w:r>
    </w:p>
    <w:p w:rsidR="00B85053" w:rsidRDefault="00BF1655">
      <w:pPr>
        <w:numPr>
          <w:ilvl w:val="0"/>
          <w:numId w:val="4"/>
        </w:numPr>
        <w:spacing w:before="0" w:line="240" w:lineRule="auto"/>
        <w:rPr>
          <w:rFonts w:ascii="Trebuchet MS" w:eastAsia="Trebuchet MS" w:hAnsi="Trebuchet MS" w:cs="Trebuchet MS"/>
          <w:sz w:val="20"/>
          <w:szCs w:val="20"/>
        </w:rPr>
      </w:pPr>
      <w:r>
        <w:rPr>
          <w:rFonts w:ascii="Trebuchet MS" w:eastAsia="Trebuchet MS" w:hAnsi="Trebuchet MS" w:cs="Trebuchet MS"/>
          <w:i/>
          <w:sz w:val="20"/>
          <w:szCs w:val="20"/>
        </w:rPr>
        <w:t>Fill skills gap</w:t>
      </w:r>
      <w:r>
        <w:rPr>
          <w:rFonts w:ascii="Trebuchet MS" w:eastAsia="Trebuchet MS" w:hAnsi="Trebuchet MS" w:cs="Trebuchet MS"/>
          <w:sz w:val="20"/>
          <w:szCs w:val="20"/>
        </w:rPr>
        <w:t xml:space="preserve"> </w:t>
      </w:r>
    </w:p>
    <w:p w:rsidR="00B85053" w:rsidRDefault="00BF1655">
      <w:pPr>
        <w:numPr>
          <w:ilvl w:val="0"/>
          <w:numId w:val="4"/>
        </w:numPr>
        <w:spacing w:before="0" w:line="240" w:lineRule="auto"/>
        <w:rPr>
          <w:rFonts w:ascii="Trebuchet MS" w:eastAsia="Trebuchet MS" w:hAnsi="Trebuchet MS" w:cs="Trebuchet MS"/>
          <w:i/>
          <w:sz w:val="20"/>
          <w:szCs w:val="20"/>
        </w:rPr>
      </w:pPr>
      <w:r>
        <w:rPr>
          <w:rFonts w:ascii="Trebuchet MS" w:eastAsia="Trebuchet MS" w:hAnsi="Trebuchet MS" w:cs="Trebuchet MS"/>
          <w:i/>
          <w:sz w:val="20"/>
          <w:szCs w:val="20"/>
        </w:rPr>
        <w:t>Develop the talent you need to grow</w:t>
      </w:r>
    </w:p>
    <w:p w:rsidR="00B85053" w:rsidRDefault="00BF1655">
      <w:pPr>
        <w:numPr>
          <w:ilvl w:val="0"/>
          <w:numId w:val="4"/>
        </w:numPr>
        <w:spacing w:before="0" w:line="240" w:lineRule="auto"/>
        <w:rPr>
          <w:rFonts w:ascii="Trebuchet MS" w:eastAsia="Trebuchet MS" w:hAnsi="Trebuchet MS" w:cs="Trebuchet MS"/>
          <w:i/>
          <w:sz w:val="20"/>
          <w:szCs w:val="20"/>
        </w:rPr>
      </w:pPr>
      <w:r>
        <w:rPr>
          <w:rFonts w:ascii="Trebuchet MS" w:eastAsia="Trebuchet MS" w:hAnsi="Trebuchet MS" w:cs="Trebuchet MS"/>
          <w:i/>
          <w:sz w:val="20"/>
          <w:szCs w:val="20"/>
        </w:rPr>
        <w:t>Improve workforce diversity</w:t>
      </w:r>
    </w:p>
    <w:p w:rsidR="00B85053" w:rsidRDefault="00BF1655">
      <w:pPr>
        <w:numPr>
          <w:ilvl w:val="0"/>
          <w:numId w:val="4"/>
        </w:numPr>
        <w:spacing w:before="0" w:line="240" w:lineRule="auto"/>
        <w:rPr>
          <w:rFonts w:ascii="Trebuchet MS" w:eastAsia="Trebuchet MS" w:hAnsi="Trebuchet MS" w:cs="Trebuchet MS"/>
          <w:i/>
          <w:sz w:val="20"/>
          <w:szCs w:val="20"/>
        </w:rPr>
      </w:pPr>
      <w:r>
        <w:rPr>
          <w:rFonts w:ascii="Trebuchet MS" w:eastAsia="Trebuchet MS" w:hAnsi="Trebuchet MS" w:cs="Trebuchet MS"/>
          <w:i/>
          <w:sz w:val="20"/>
          <w:szCs w:val="20"/>
        </w:rPr>
        <w:t>Prepare for a retiring workforce</w:t>
      </w:r>
    </w:p>
    <w:p w:rsidR="00B85053" w:rsidRDefault="00BF1655">
      <w:pPr>
        <w:numPr>
          <w:ilvl w:val="0"/>
          <w:numId w:val="4"/>
        </w:numPr>
        <w:spacing w:before="0" w:line="240" w:lineRule="auto"/>
        <w:rPr>
          <w:rFonts w:ascii="Trebuchet MS" w:eastAsia="Trebuchet MS" w:hAnsi="Trebuchet MS" w:cs="Trebuchet MS"/>
          <w:i/>
          <w:sz w:val="20"/>
          <w:szCs w:val="20"/>
        </w:rPr>
      </w:pPr>
      <w:r>
        <w:rPr>
          <w:rFonts w:ascii="Trebuchet MS" w:eastAsia="Trebuchet MS" w:hAnsi="Trebuchet MS" w:cs="Trebuchet MS"/>
          <w:i/>
          <w:sz w:val="20"/>
          <w:szCs w:val="20"/>
        </w:rPr>
        <w:t>Keep up with advancing technology</w:t>
      </w:r>
    </w:p>
    <w:p w:rsidR="00B85053" w:rsidRDefault="00BF1655">
      <w:pPr>
        <w:numPr>
          <w:ilvl w:val="0"/>
          <w:numId w:val="4"/>
        </w:numPr>
        <w:spacing w:before="0" w:line="240" w:lineRule="auto"/>
        <w:rPr>
          <w:rFonts w:ascii="Trebuchet MS" w:eastAsia="Trebuchet MS" w:hAnsi="Trebuchet MS" w:cs="Trebuchet MS"/>
          <w:i/>
          <w:sz w:val="20"/>
          <w:szCs w:val="20"/>
          <w:highlight w:val="white"/>
        </w:rPr>
      </w:pPr>
      <w:r>
        <w:rPr>
          <w:rFonts w:ascii="Trebuchet MS" w:eastAsia="Trebuchet MS" w:hAnsi="Trebuchet MS" w:cs="Trebuchet MS"/>
          <w:i/>
          <w:sz w:val="20"/>
          <w:szCs w:val="20"/>
          <w:highlight w:val="white"/>
        </w:rPr>
        <w:t xml:space="preserve">Deepen your talent pool </w:t>
      </w:r>
    </w:p>
    <w:p w:rsidR="00B85053" w:rsidRDefault="00BF1655">
      <w:pPr>
        <w:spacing w:before="0" w:line="240" w:lineRule="auto"/>
        <w:rPr>
          <w:b/>
          <w:sz w:val="20"/>
          <w:szCs w:val="20"/>
        </w:rPr>
      </w:pPr>
      <w:r>
        <w:rPr>
          <w:noProof/>
          <w:lang w:val="en-US"/>
        </w:rPr>
        <w:drawing>
          <wp:anchor distT="114300" distB="114300" distL="114300" distR="114300" simplePos="0" relativeHeight="251662336" behindDoc="0" locked="0" layoutInCell="1" hidden="0" allowOverlap="1">
            <wp:simplePos x="0" y="0"/>
            <wp:positionH relativeFrom="column">
              <wp:posOffset>-85724</wp:posOffset>
            </wp:positionH>
            <wp:positionV relativeFrom="paragraph">
              <wp:posOffset>152400</wp:posOffset>
            </wp:positionV>
            <wp:extent cx="585788" cy="585788"/>
            <wp:effectExtent l="0" t="0" r="0" b="0"/>
            <wp:wrapSquare wrapText="bothSides" distT="114300" distB="114300" distL="114300" distR="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85788" cy="585788"/>
                    </a:xfrm>
                    <a:prstGeom prst="rect">
                      <a:avLst/>
                    </a:prstGeom>
                    <a:ln/>
                  </pic:spPr>
                </pic:pic>
              </a:graphicData>
            </a:graphic>
          </wp:anchor>
        </w:drawing>
      </w:r>
    </w:p>
    <w:p w:rsidR="00B85053" w:rsidRDefault="00BF1655">
      <w:pPr>
        <w:spacing w:before="0" w:line="240" w:lineRule="auto"/>
        <w:rPr>
          <w:b/>
          <w:sz w:val="20"/>
          <w:szCs w:val="20"/>
        </w:rPr>
      </w:pPr>
      <w:r>
        <w:rPr>
          <w:b/>
          <w:sz w:val="20"/>
          <w:szCs w:val="20"/>
        </w:rPr>
        <w:t>Services to Support the Development of Your Registered Apprenticeship</w:t>
      </w:r>
    </w:p>
    <w:p w:rsidR="00B85053" w:rsidRDefault="00BF1655">
      <w:pPr>
        <w:spacing w:before="0" w:line="240" w:lineRule="auto"/>
        <w:rPr>
          <w:sz w:val="20"/>
          <w:szCs w:val="20"/>
        </w:rPr>
      </w:pPr>
      <w:r>
        <w:rPr>
          <w:sz w:val="20"/>
          <w:szCs w:val="20"/>
        </w:rPr>
        <w:t xml:space="preserve">The Apprenticeship Team provides </w:t>
      </w:r>
      <w:r>
        <w:rPr>
          <w:sz w:val="20"/>
          <w:szCs w:val="20"/>
          <w:highlight w:val="white"/>
        </w:rPr>
        <w:t>no-cost</w:t>
      </w:r>
      <w:r>
        <w:rPr>
          <w:sz w:val="20"/>
          <w:szCs w:val="20"/>
        </w:rPr>
        <w:t xml:space="preserve"> services to Colorado businesses interested in the registered apprenticeship model. They support businesses by:</w:t>
      </w:r>
    </w:p>
    <w:p w:rsidR="00B85053" w:rsidRDefault="00B85053">
      <w:pPr>
        <w:spacing w:before="0" w:line="240" w:lineRule="auto"/>
        <w:rPr>
          <w:sz w:val="20"/>
          <w:szCs w:val="20"/>
        </w:rPr>
      </w:pPr>
    </w:p>
    <w:p w:rsidR="00B85053" w:rsidRDefault="00BF1655">
      <w:pPr>
        <w:numPr>
          <w:ilvl w:val="0"/>
          <w:numId w:val="3"/>
        </w:numPr>
        <w:spacing w:before="0" w:line="240" w:lineRule="auto"/>
        <w:rPr>
          <w:sz w:val="20"/>
          <w:szCs w:val="20"/>
          <w:highlight w:val="white"/>
        </w:rPr>
      </w:pPr>
      <w:r>
        <w:rPr>
          <w:sz w:val="20"/>
          <w:szCs w:val="20"/>
          <w:highlight w:val="white"/>
        </w:rPr>
        <w:t>Identifying unique organizational needs and determining if a registered apprenticeship is a good fit fo</w:t>
      </w:r>
      <w:r>
        <w:rPr>
          <w:sz w:val="20"/>
          <w:szCs w:val="20"/>
          <w:highlight w:val="white"/>
        </w:rPr>
        <w:t>r their organization</w:t>
      </w:r>
    </w:p>
    <w:p w:rsidR="00B85053" w:rsidRDefault="00BF1655">
      <w:pPr>
        <w:numPr>
          <w:ilvl w:val="0"/>
          <w:numId w:val="3"/>
        </w:numPr>
        <w:spacing w:before="0" w:line="240" w:lineRule="auto"/>
        <w:rPr>
          <w:sz w:val="20"/>
          <w:szCs w:val="20"/>
        </w:rPr>
      </w:pPr>
      <w:r>
        <w:rPr>
          <w:sz w:val="20"/>
          <w:szCs w:val="20"/>
        </w:rPr>
        <w:t xml:space="preserve">Walking organizations through the registered apprenticeship process, from program development through registration with the US Department of Labor </w:t>
      </w:r>
    </w:p>
    <w:p w:rsidR="00B85053" w:rsidRDefault="00BF1655">
      <w:pPr>
        <w:numPr>
          <w:ilvl w:val="0"/>
          <w:numId w:val="3"/>
        </w:numPr>
        <w:spacing w:before="0" w:line="240" w:lineRule="auto"/>
        <w:rPr>
          <w:sz w:val="20"/>
          <w:szCs w:val="20"/>
          <w:highlight w:val="white"/>
        </w:rPr>
      </w:pPr>
      <w:r>
        <w:rPr>
          <w:sz w:val="20"/>
          <w:szCs w:val="20"/>
          <w:highlight w:val="white"/>
        </w:rPr>
        <w:t>Connecting organizations to state and local resources that will help their registered a</w:t>
      </w:r>
      <w:r>
        <w:rPr>
          <w:sz w:val="20"/>
          <w:szCs w:val="20"/>
          <w:highlight w:val="white"/>
        </w:rPr>
        <w:t xml:space="preserve">pprenticeship program recruit diverse talent and sustain their program </w:t>
      </w:r>
      <w:bookmarkStart w:id="0" w:name="_GoBack"/>
      <w:bookmarkEnd w:id="0"/>
    </w:p>
    <w:sectPr w:rsidR="00B85053">
      <w:headerReference w:type="even" r:id="rId12"/>
      <w:headerReference w:type="default" r:id="rId13"/>
      <w:footerReference w:type="even" r:id="rId14"/>
      <w:footerReference w:type="default" r:id="rId15"/>
      <w:headerReference w:type="first" r:id="rId16"/>
      <w:footerReference w:type="first" r:id="rId17"/>
      <w:pgSz w:w="12240" w:h="15840"/>
      <w:pgMar w:top="180" w:right="1440" w:bottom="0" w:left="1440" w:header="27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655" w:rsidRDefault="00BF1655">
      <w:pPr>
        <w:spacing w:before="0" w:line="240" w:lineRule="auto"/>
      </w:pPr>
      <w:r>
        <w:separator/>
      </w:r>
    </w:p>
  </w:endnote>
  <w:endnote w:type="continuationSeparator" w:id="0">
    <w:p w:rsidR="00BF1655" w:rsidRDefault="00BF16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Quicksand">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53" w:rsidRDefault="00B85053">
    <w:pPr>
      <w:pBdr>
        <w:top w:val="nil"/>
        <w:left w:val="nil"/>
        <w:bottom w:val="nil"/>
        <w:right w:val="nil"/>
        <w:between w:val="nil"/>
      </w:pBdr>
      <w:tabs>
        <w:tab w:val="center" w:pos="4680"/>
        <w:tab w:val="right" w:pos="9360"/>
      </w:tabs>
      <w:spacing w:before="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53" w:rsidRDefault="00B85053">
    <w:pPr>
      <w:pBdr>
        <w:top w:val="nil"/>
        <w:left w:val="nil"/>
        <w:bottom w:val="nil"/>
        <w:right w:val="nil"/>
        <w:between w:val="nil"/>
      </w:pBdr>
      <w:tabs>
        <w:tab w:val="center" w:pos="4680"/>
        <w:tab w:val="right" w:pos="9360"/>
      </w:tabs>
      <w:spacing w:before="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53" w:rsidRDefault="00BF1655">
    <w:pPr>
      <w:spacing w:line="240" w:lineRule="auto"/>
      <w:jc w:val="center"/>
    </w:pPr>
    <w:r>
      <w:rPr>
        <w:noProof/>
        <w:lang w:val="en-US"/>
      </w:rPr>
      <w:drawing>
        <wp:inline distT="114300" distB="114300" distL="114300" distR="114300">
          <wp:extent cx="762000" cy="28575"/>
          <wp:effectExtent l="0" t="0" r="0" b="0"/>
          <wp:docPr id="7"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762000" cy="28575"/>
                  </a:xfrm>
                  <a:prstGeom prst="rect">
                    <a:avLst/>
                  </a:prstGeom>
                  <a:ln/>
                </pic:spPr>
              </pic:pic>
            </a:graphicData>
          </a:graphic>
        </wp:inline>
      </w:drawing>
    </w:r>
  </w:p>
  <w:p w:rsidR="00B85053" w:rsidRDefault="00BF1655">
    <w:pPr>
      <w:jc w:val="center"/>
      <w:rPr>
        <w:sz w:val="20"/>
        <w:szCs w:val="20"/>
      </w:rPr>
    </w:pPr>
    <w:r>
      <w:rPr>
        <w:color w:val="666666"/>
        <w:sz w:val="20"/>
        <w:szCs w:val="20"/>
      </w:rPr>
      <w:t>633 17</w:t>
    </w:r>
    <w:r>
      <w:rPr>
        <w:color w:val="666666"/>
        <w:sz w:val="20"/>
        <w:szCs w:val="20"/>
        <w:vertAlign w:val="superscript"/>
      </w:rPr>
      <w:t>th</w:t>
    </w:r>
    <w:r>
      <w:rPr>
        <w:color w:val="666666"/>
        <w:sz w:val="20"/>
        <w:szCs w:val="20"/>
      </w:rPr>
      <w:t xml:space="preserve"> Street, Suite 1200 | Denver, CO 80202-3660</w:t>
    </w:r>
    <w:r>
      <w:rPr>
        <w:color w:val="666666"/>
        <w:sz w:val="20"/>
        <w:szCs w:val="20"/>
      </w:rPr>
      <w:br/>
      <w:t>(303) 318-8000 |</w:t>
    </w:r>
    <w:hyperlink r:id="rId2">
      <w:r>
        <w:rPr>
          <w:color w:val="1155CC"/>
          <w:sz w:val="20"/>
          <w:szCs w:val="20"/>
          <w:u w:val="single"/>
        </w:rPr>
        <w:t>apprenticeship@state.co.us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655" w:rsidRDefault="00BF1655">
      <w:pPr>
        <w:spacing w:before="0" w:line="240" w:lineRule="auto"/>
      </w:pPr>
      <w:r>
        <w:separator/>
      </w:r>
    </w:p>
  </w:footnote>
  <w:footnote w:type="continuationSeparator" w:id="0">
    <w:p w:rsidR="00BF1655" w:rsidRDefault="00BF165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53" w:rsidRDefault="00B85053">
    <w:pPr>
      <w:pBdr>
        <w:top w:val="nil"/>
        <w:left w:val="nil"/>
        <w:bottom w:val="nil"/>
        <w:right w:val="nil"/>
        <w:between w:val="nil"/>
      </w:pBdr>
      <w:tabs>
        <w:tab w:val="center" w:pos="4680"/>
        <w:tab w:val="right" w:pos="9360"/>
      </w:tabs>
      <w:spacing w:before="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53" w:rsidRDefault="00B85053">
    <w:pPr>
      <w:pBdr>
        <w:top w:val="nil"/>
        <w:left w:val="nil"/>
        <w:bottom w:val="nil"/>
        <w:right w:val="nil"/>
        <w:between w:val="nil"/>
      </w:pBdr>
      <w:tabs>
        <w:tab w:val="center" w:pos="4680"/>
        <w:tab w:val="right" w:pos="9360"/>
      </w:tabs>
      <w:spacing w:before="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53" w:rsidRDefault="00BF1655">
    <w:pPr>
      <w:spacing w:before="0" w:line="240" w:lineRule="auto"/>
      <w:jc w:val="center"/>
      <w:rPr>
        <w:color w:val="666666"/>
      </w:rPr>
    </w:pPr>
    <w:r>
      <w:rPr>
        <w:noProof/>
        <w:lang w:val="en-US"/>
      </w:rPr>
      <w:drawing>
        <wp:inline distT="114300" distB="114300" distL="114300" distR="114300">
          <wp:extent cx="2600325" cy="477798"/>
          <wp:effectExtent l="0" t="0" r="0" b="0"/>
          <wp:docPr id="5" name="image2.png" descr="placeholder logo"/>
          <wp:cNvGraphicFramePr/>
          <a:graphic xmlns:a="http://schemas.openxmlformats.org/drawingml/2006/main">
            <a:graphicData uri="http://schemas.openxmlformats.org/drawingml/2006/picture">
              <pic:pic xmlns:pic="http://schemas.openxmlformats.org/drawingml/2006/picture">
                <pic:nvPicPr>
                  <pic:cNvPr id="0" name="image2.png" descr="placeholder logo"/>
                  <pic:cNvPicPr preferRelativeResize="0"/>
                </pic:nvPicPr>
                <pic:blipFill>
                  <a:blip r:embed="rId1"/>
                  <a:srcRect/>
                  <a:stretch>
                    <a:fillRect/>
                  </a:stretch>
                </pic:blipFill>
                <pic:spPr>
                  <a:xfrm>
                    <a:off x="0" y="0"/>
                    <a:ext cx="2600325" cy="477798"/>
                  </a:xfrm>
                  <a:prstGeom prst="rect">
                    <a:avLst/>
                  </a:prstGeom>
                  <a:ln/>
                </pic:spPr>
              </pic:pic>
            </a:graphicData>
          </a:graphic>
        </wp:inline>
      </w:drawing>
    </w:r>
  </w:p>
  <w:p w:rsidR="00B85053" w:rsidRDefault="00BF1655">
    <w:pPr>
      <w:pStyle w:val="Heading3"/>
      <w:spacing w:before="0" w:after="0" w:line="276" w:lineRule="auto"/>
      <w:ind w:left="-15"/>
      <w:jc w:val="center"/>
      <w:rPr>
        <w:color w:val="666666"/>
        <w:sz w:val="18"/>
        <w:szCs w:val="18"/>
      </w:rPr>
    </w:pPr>
    <w:bookmarkStart w:id="1" w:name="_gjdgxs" w:colFirst="0" w:colLast="0"/>
    <w:bookmarkEnd w:id="1"/>
    <w:r>
      <w:rPr>
        <w:b/>
        <w:color w:val="C3002F"/>
        <w:sz w:val="20"/>
        <w:szCs w:val="20"/>
      </w:rPr>
      <w:t>Office of the Future of Work</w:t>
    </w:r>
  </w:p>
  <w:p w:rsidR="00B85053" w:rsidRDefault="00BF1655">
    <w:pPr>
      <w:spacing w:before="0" w:line="240" w:lineRule="auto"/>
      <w:jc w:val="center"/>
      <w:rPr>
        <w:sz w:val="18"/>
        <w:szCs w:val="18"/>
      </w:rPr>
    </w:pPr>
    <w:hyperlink r:id="rId2">
      <w:r>
        <w:rPr>
          <w:color w:val="1155CC"/>
          <w:sz w:val="18"/>
          <w:szCs w:val="18"/>
          <w:u w:val="single"/>
        </w:rPr>
        <w:t>cdle.colorado.gov/apprenticeship</w:t>
      </w:r>
    </w:hyperlink>
  </w:p>
  <w:p w:rsidR="00B85053" w:rsidRDefault="00BF1655">
    <w:pPr>
      <w:spacing w:before="0" w:line="240" w:lineRule="auto"/>
      <w:jc w:val="center"/>
      <w:rPr>
        <w:sz w:val="18"/>
        <w:szCs w:val="18"/>
      </w:rPr>
    </w:pPr>
    <w:r>
      <w:rPr>
        <w:noProof/>
        <w:lang w:val="en-US"/>
      </w:rPr>
      <w:drawing>
        <wp:inline distT="114300" distB="114300" distL="114300" distR="114300">
          <wp:extent cx="762000" cy="28575"/>
          <wp:effectExtent l="0" t="0" r="0" b="0"/>
          <wp:docPr id="6"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3"/>
                  <a:srcRect/>
                  <a:stretch>
                    <a:fillRect/>
                  </a:stretch>
                </pic:blipFill>
                <pic:spPr>
                  <a:xfrm>
                    <a:off x="0" y="0"/>
                    <a:ext cx="762000" cy="285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8069E"/>
    <w:multiLevelType w:val="multilevel"/>
    <w:tmpl w:val="12A47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223888"/>
    <w:multiLevelType w:val="multilevel"/>
    <w:tmpl w:val="DDD6F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E3716A"/>
    <w:multiLevelType w:val="multilevel"/>
    <w:tmpl w:val="7AB29B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8C14F31"/>
    <w:multiLevelType w:val="multilevel"/>
    <w:tmpl w:val="BA20E1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D0918EC"/>
    <w:multiLevelType w:val="multilevel"/>
    <w:tmpl w:val="ABC64A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53"/>
    <w:rsid w:val="00A75430"/>
    <w:rsid w:val="00B85053"/>
    <w:rsid w:val="00B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4CD0F-ED43-4A15-AE61-B38889A9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en" w:eastAsia="en-US"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jc w:val="center"/>
      <w:outlineLvl w:val="0"/>
    </w:pPr>
    <w:rPr>
      <w:b/>
      <w:color w:val="262E67"/>
      <w:sz w:val="72"/>
      <w:szCs w:val="72"/>
    </w:rPr>
  </w:style>
  <w:style w:type="paragraph" w:styleId="Heading2">
    <w:name w:val="heading 2"/>
    <w:basedOn w:val="Normal"/>
    <w:next w:val="Normal"/>
    <w:pPr>
      <w:spacing w:before="480"/>
      <w:outlineLvl w:val="1"/>
    </w:pPr>
    <w:rPr>
      <w:b/>
      <w:color w:val="262E67"/>
      <w:sz w:val="32"/>
      <w:szCs w:val="32"/>
    </w:rPr>
  </w:style>
  <w:style w:type="paragraph" w:styleId="Heading3">
    <w:name w:val="heading 3"/>
    <w:basedOn w:val="Normal"/>
    <w:next w:val="Normal"/>
    <w:pPr>
      <w:spacing w:before="120" w:after="120" w:line="312" w:lineRule="auto"/>
      <w:outlineLvl w:val="2"/>
    </w:pPr>
    <w:rPr>
      <w:color w:val="999999"/>
    </w:rPr>
  </w:style>
  <w:style w:type="paragraph" w:styleId="Heading4">
    <w:name w:val="heading 4"/>
    <w:basedOn w:val="Normal"/>
    <w:next w:val="Normal"/>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b/>
      <w:sz w:val="24"/>
      <w:szCs w:val="24"/>
    </w:rPr>
  </w:style>
  <w:style w:type="paragraph" w:styleId="Subtitle">
    <w:name w:val="Subtitle"/>
    <w:basedOn w:val="Normal"/>
    <w:next w:val="Normal"/>
    <w:pPr>
      <w:spacing w:before="0" w:line="240" w:lineRule="auto"/>
      <w:jc w:val="center"/>
    </w:pPr>
    <w:rPr>
      <w:rFonts w:ascii="Quicksand" w:eastAsia="Quicksand" w:hAnsi="Quicksand" w:cs="Quicksand"/>
      <w:color w:val="6666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apprenticeship@state.co.us" TargetMode="External"/><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cdle.colorado.gov/apprenticeship"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Company>Arapahoe County Government</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 Plaza</cp:lastModifiedBy>
  <cp:revision>2</cp:revision>
  <dcterms:created xsi:type="dcterms:W3CDTF">2022-09-22T16:16:00Z</dcterms:created>
  <dcterms:modified xsi:type="dcterms:W3CDTF">2022-09-22T16:17:00Z</dcterms:modified>
</cp:coreProperties>
</file>